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>
        <w:rPr>
          <w:rFonts w:ascii="Courier New" w:eastAsia="Times New Roman" w:hAnsi="Courier New" w:cs="Courier New"/>
          <w:szCs w:val="20"/>
        </w:rPr>
        <w:t>***</w:t>
      </w:r>
      <w:r w:rsidRPr="00776064">
        <w:rPr>
          <w:rFonts w:ascii="Courier New" w:eastAsia="Times New Roman" w:hAnsi="Courier New" w:cs="Courier New"/>
          <w:szCs w:val="20"/>
        </w:rPr>
        <w:t>**** UNCLASSIFIED // FOR OFFICIAL USE ONLY (FOUO) ****</w:t>
      </w:r>
      <w:r>
        <w:rPr>
          <w:rFonts w:ascii="Courier New" w:eastAsia="Times New Roman" w:hAnsi="Courier New" w:cs="Courier New"/>
          <w:szCs w:val="20"/>
        </w:rPr>
        <w:t>******</w:t>
      </w:r>
      <w:bookmarkStart w:id="0" w:name="_GoBack"/>
      <w:bookmarkEnd w:id="0"/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Subject: TACOM LCMC GPA 13-010, INCORRECT INSTALLATION OF THE M2A1 BARREL, NSN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1005-01-541-2478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DTG: 301753Z May 13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Precedence: PRIORITY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DAC: General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--------------------------------------------------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UNCLASSIFIED//FOR OFFICIAL USE ONLY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Subject: Ground Precautionary Action (GPA) Message, TACOM Life Cycle Management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Command (TACOM LCMC) Control No. GPA 13-010, "Operational" Incorrect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Installation of the M2A1 barrel, NSN 1005-01-541-2478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       XXXXXXXXXXXXXXXXXXXXXXXXXXXXXXXXXXXXXXXXXXXXXXXXXXXXX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       X                  "ATTENTION"                      X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       X THIS MESSAGE CONTAINS INFORMATION THAT IS VITAL   X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       X TO THE SAFETY OF ARMY PERSONNEL AND THE OPERATION X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       </w:t>
      </w:r>
      <w:proofErr w:type="gramStart"/>
      <w:r w:rsidRPr="00776064">
        <w:rPr>
          <w:rFonts w:ascii="Courier New" w:eastAsia="Times New Roman" w:hAnsi="Courier New" w:cs="Courier New"/>
          <w:szCs w:val="20"/>
        </w:rPr>
        <w:t>X        OR MAINTENANCE OF ARMY EQUIPMENT.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         X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       XXXXXXXXXXXXXXXXXXXXXXXXXXXXXXXXXXXXXXXXXXXXXXXXXXXXX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REFERENCES: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a. TM 9-1005-347-10, Operator's Manual for Machine Gun, Caliber .50; M2A1,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W/Fixed Headspace and Timing.</w:t>
      </w:r>
      <w:proofErr w:type="gramEnd"/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 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b. TM 9-1005-347-23&amp;P, Field Maintenance Manual (Including Repair Parts and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Special Tools List) for Machine Gun, Caliber .50: M2A1 W/Fixed Headspace and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Timing.</w:t>
      </w:r>
      <w:proofErr w:type="gramEnd"/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c. MA 12-036 Incorrect Installation of the M2A1 barrel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d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. PS Magazine article 720-43 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SYNOPSIS: M2A1 barrels continue to be damaged due to operators not following the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proper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barrel installation procedures IAW TM 9-1005-347-10.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1. Receipt Acknowledgement: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This is </w:t>
      </w:r>
      <w:proofErr w:type="gramStart"/>
      <w:r w:rsidRPr="00776064">
        <w:rPr>
          <w:rFonts w:ascii="Courier New" w:eastAsia="Times New Roman" w:hAnsi="Courier New" w:cs="Courier New"/>
          <w:szCs w:val="20"/>
        </w:rPr>
        <w:t>a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"Operational" Ground Precautionary Action Message.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Commanders/Directors of Army Commands (ACOM)/Army Service Component Commands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(ASCC)/Direct Reporting Units (DRU), Army National Guard (ARNG), US Army Reserve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(USAR) Command, US Navy (USN), US Air Force (USAF), US Marine Corps (USMC) and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other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Service Commanders and Responsible Offices will retransmit this message to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lastRenderedPageBreak/>
        <w:t>all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subordinate Commanders/Activities within 24 hours of receipt and will,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within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3 working days, acknowledge receipt for all ground safety and maintenance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messages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using the Modification Management Information System (MMIS).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2. Compliance Reporting: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No compliance reporting required per this message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3. Message Library: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This message will be available on the Safety First Website located on the TACOM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Unique Logistics Support Applications (TULSA) portal within twenty-four hours of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transmission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>. Access to the Safety First Website requires CAC Card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authentication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>. You must first request access to the Safety First Website. The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website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is https://tulsa.tacom.army.mil. For assistance, email the TULSA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Helpdesk at usarmy.detroit.tacom.mbx.ilsc-tulsa@mail.mil.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The Safety First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Website also has the capability to email Safety and Maintenance messages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directly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to your inbox. To subscribe to the mailing list, click on, E-Mail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Subscriptions, on the Navigation bar.</w:t>
      </w:r>
      <w:proofErr w:type="gramEnd"/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4. Problem: 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TACOM continues to receive reports from the field regarding the improper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installation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of the M2A1 barrel into the barrel extension. Failure to properly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install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the M2A1 barrel into the barrel extension will cause the weapon to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malfunction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and damage to the barrel by shearing the barrel locking pin off of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the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barrel.  Once the barrel locking pin is sheared off, the barrel is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non-repairable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and the unit must buy a replacement barrel. A recent incident has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not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only damaged the weapon but also injured a soldier.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5. User Actions: 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When installing the barrel into the M2A1 receiver, follow the barrel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installation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procedures in sequence IAW TM 9-1005-347-10, WP 0023 00-3 and WP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0023 00-4.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Failure to adhere to the following steps, in sequence, will result in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weapon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malfunction and damage to the barrel or the barrel locking pin.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                               INSTALLATION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WARNING During barrel installation, the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lastRenderedPageBreak/>
        <w:t>charging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handle must be pulled back to view the square on the barrel locking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spring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lug through the 3/8 in. hole in the right side of the receiver. Ensure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that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during barrel installation the square on the barrel extension locking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spring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is NOT pulled back PAST the 3/8 in. hole on the right side of the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receiver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or the barrel will not be properly engaged to the barrel extension.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                                   NOTE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M2A1 barrels are interchangeable with other M2A1 barrels without affecting the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headspace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or timing of the weapon. M2 and M2A1 barrels are not interchangeable.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a. With cover assembly (1) all the way up, retract bolt assembly (2) far enough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for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barrel locking spring lug (3) to center in barrel locking spring hole (4) on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right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hand side of receiver(5).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b. Insert barrel assembly (6) into barrel support (7) until barrel locking pin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(8) </w:t>
      </w:r>
      <w:proofErr w:type="gramStart"/>
      <w:r w:rsidRPr="00776064">
        <w:rPr>
          <w:rFonts w:ascii="Courier New" w:eastAsia="Times New Roman" w:hAnsi="Courier New" w:cs="Courier New"/>
          <w:szCs w:val="20"/>
        </w:rPr>
        <w:t>engages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alignment slot (9).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c. Push barrel assembly (6) rearward until locking pin (8) engages </w:t>
      </w:r>
      <w:proofErr w:type="spellStart"/>
      <w:r w:rsidRPr="00776064">
        <w:rPr>
          <w:rFonts w:ascii="Courier New" w:eastAsia="Times New Roman" w:hAnsi="Courier New" w:cs="Courier New"/>
          <w:szCs w:val="20"/>
        </w:rPr>
        <w:t>camming</w:t>
      </w:r>
      <w:proofErr w:type="spellEnd"/>
      <w:r w:rsidRPr="00776064">
        <w:rPr>
          <w:rFonts w:ascii="Courier New" w:eastAsia="Times New Roman" w:hAnsi="Courier New" w:cs="Courier New"/>
          <w:szCs w:val="20"/>
        </w:rPr>
        <w:t xml:space="preserve"> slot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(10). Grasping barrel carrying handle (11), rotate barrel assembly clockwise and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secure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locking pin in retention slot (12).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    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d. Inspect the barrel (6) and lower barrel extension (13) to ensure end of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barrel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protrudes beyond the barrel extension threads. 5. Release retracting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slide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handle (14) and allow bolt to go forward, then close cover assembly (1).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e. Charge the weapon; visually ensure that the barrel moves back and forth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freely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>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Step by step visual of the correctly installed M2A1 barrel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https://tulsa.tacom.army.mil/SAFETY/?t=gpm&amp;f=M2A1BarrelInstallation.pptx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Visual of the incorrectly installed M2A1 barrel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lastRenderedPageBreak/>
        <w:t>https://tulsa.tacom.army.mil/SAFETY/?t=gpm&amp;f=M2A1IncorrectBarrelnstal.pptx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6. Unit Commanders:  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a. Commanders will ensure unit personnel are properly trained in the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installation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of the M2A1 barrel described in TM 9-1005-347-10, WP 0023 00-3 and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WP 0023-4.</w:t>
      </w:r>
      <w:proofErr w:type="gramEnd"/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b. Contact your local TACOM LCMC Logistics Assistance Representative (LAR)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or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your State Surface Maintenance Manager upon Receipt of this message for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assistance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>. For assistance in locating your TACOM LCMC LAR, see paragraph 9c.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c. Commanders/Directors of Army Commands (ACOM)/Army Service Component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Commands (ASCC)/Direct Reporting Units (DRU), Army National Guard (ARNG), US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Army Reserve (USAR) Command, US Navy (USN), US Air Force (USAF), US Marine Corps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(USMC) and other Service Commanders and Responsible Offices will ensure users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comply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with TM 9-1005-347-10.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7. TACOM LCMC/PM actions: 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TACOM initially released notification to properly install the M2A1 barrel in MA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12-036. TACOM also submitted a PS Magazine article in November 2012 addressing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this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issue. Article can be found in PS 720-43.  This is a follow-on safety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message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to re-iterate and make known the importance of properly installing the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barrel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into the M2A1 receiver.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8. Supply Status: 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Machine Gun Barrel, NSN: 1005-01-541-2478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FEDLOG price: $1,741.00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1,683 M2A1 Barrels in the supply system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The unit is responsible for replacement of damaged barrels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9.  POCs:  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a. Equipment Specialist (M2/M2A1): Wayne </w:t>
      </w:r>
      <w:proofErr w:type="spellStart"/>
      <w:r w:rsidRPr="00776064">
        <w:rPr>
          <w:rFonts w:ascii="Courier New" w:eastAsia="Times New Roman" w:hAnsi="Courier New" w:cs="Courier New"/>
          <w:szCs w:val="20"/>
        </w:rPr>
        <w:t>Waroway</w:t>
      </w:r>
      <w:proofErr w:type="spellEnd"/>
      <w:r w:rsidRPr="00776064">
        <w:rPr>
          <w:rFonts w:ascii="Courier New" w:eastAsia="Times New Roman" w:hAnsi="Courier New" w:cs="Courier New"/>
          <w:szCs w:val="20"/>
        </w:rPr>
        <w:t xml:space="preserve"> TACOM, AMSTA-LCS-WIC, DSN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786-1339, e-mail: wayne.d.waroway.civ@mail.mil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lastRenderedPageBreak/>
        <w:t xml:space="preserve"> 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b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. Weapon System Manager (WSM) Amber </w:t>
      </w:r>
      <w:proofErr w:type="spellStart"/>
      <w:r w:rsidRPr="00776064">
        <w:rPr>
          <w:rFonts w:ascii="Courier New" w:eastAsia="Times New Roman" w:hAnsi="Courier New" w:cs="Courier New"/>
          <w:szCs w:val="20"/>
        </w:rPr>
        <w:t>Brasseur</w:t>
      </w:r>
      <w:proofErr w:type="spellEnd"/>
      <w:r w:rsidRPr="00776064">
        <w:rPr>
          <w:rFonts w:ascii="Courier New" w:eastAsia="Times New Roman" w:hAnsi="Courier New" w:cs="Courier New"/>
          <w:szCs w:val="20"/>
        </w:rPr>
        <w:t xml:space="preserve"> DSN 786-1338, e-mail: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amber.j.brasseur.civ@mail.mil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c. To find your TACOM LCMC LAR, contact the TACOM LCMC Senior Command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Representative (SCR) for your area.</w:t>
      </w:r>
      <w:proofErr w:type="gramEnd"/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(1)  CONUS-East Region includes all Active Duty, National Guard and Reserve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Units in Wisconsin, Illinois, Michigan, Indiana, Ohio, Kentucky, Tennessee,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Mississippi, Alabama, Georgia, Florida, Louisiana, South Carolina, North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Carolina, Virginia, West Virginia, Maryland, Delaware, Pennsylvania, New Jersey,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Connecticut, Rhode Island, Massachusetts, New York, New Hampshire, Vermont,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Maine and FORSCOM.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CONUS-East SCR can be reached at DSN 312-236-6921, Commercial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910-396-6921.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(2)  CONUS-West Region includes all Active Duty, National Guard and Reserve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Units in North Dakota, South Dakota, Minnesota, Nebraska, Iowa, Missouri,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Kansas, Oklahoma, Arkansas, Texas, Colorado, Montana, and Wyoming.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CONUS-West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SCR can be reached at DSN 312-737-0263, Commercial 254-287-0263.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(3)  Pacific Region includes all Active Duty, National Guard and Reserve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Units in Washington, Oregon, Idaho, Nevada, Utah, Arizona, Alaska, Hawaii,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California, New Mexico and Guam.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Pacific SCR can be reached at DSN 312-357-2991,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Commercial 253-967-2991.</w:t>
      </w:r>
      <w:proofErr w:type="gramEnd"/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(4)  Europe Region includes all Active Duty, National Guard and Reserve Units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in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Great Britain, Germany, Belgium, Luxemburg, Italy, Bosnia, Kosovo, and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Macedonia.  Europe SCR can be reached at DSN 314-483-4090, Commercial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011-49-631-411-4090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>, in Germany, 0631-411-4090.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(5)  Far East Region includes all Active Duty, National Guard and Reserve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Units in Korea, Okinawa, Kwajalein, and Japan.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 Far East SCR can be reached at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DSN 315-768-7943, commercial 011-82-53-470-7943.</w:t>
      </w:r>
      <w:proofErr w:type="gramEnd"/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        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(6)  SWA - Kuwait includes all Active Duty, National Guard and Reserve Units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lastRenderedPageBreak/>
        <w:t>in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Kuwait.  SWA - Kuwait SCR at Camp </w:t>
      </w:r>
      <w:proofErr w:type="spellStart"/>
      <w:r w:rsidRPr="00776064">
        <w:rPr>
          <w:rFonts w:ascii="Courier New" w:eastAsia="Times New Roman" w:hAnsi="Courier New" w:cs="Courier New"/>
          <w:szCs w:val="20"/>
        </w:rPr>
        <w:t>Arifjan</w:t>
      </w:r>
      <w:proofErr w:type="spellEnd"/>
      <w:r w:rsidRPr="00776064">
        <w:rPr>
          <w:rFonts w:ascii="Courier New" w:eastAsia="Times New Roman" w:hAnsi="Courier New" w:cs="Courier New"/>
          <w:szCs w:val="20"/>
        </w:rPr>
        <w:t xml:space="preserve"> can be reached at DSN 318-430-4189.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 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(7)  SWA OEF Region (Afghanistan) SWA, Region OEF includes all Active Duty,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National Guard and Reserve Units in Afghanistan.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SWA Region 401st AFSB OEF SCR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>can</w:t>
      </w:r>
      <w:proofErr w:type="gramEnd"/>
      <w:r w:rsidRPr="00776064">
        <w:rPr>
          <w:rFonts w:ascii="Courier New" w:eastAsia="Times New Roman" w:hAnsi="Courier New" w:cs="Courier New"/>
          <w:szCs w:val="20"/>
        </w:rPr>
        <w:t xml:space="preserve"> be reached at DSN 318-481-4814.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   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(8)  For US Special Operations Command contact, Special Operations Forces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>Support Activity (SOFSA), Mr. Mike Paul at DSN: 745-4302, Commercial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proofErr w:type="gramStart"/>
      <w:r w:rsidRPr="00776064">
        <w:rPr>
          <w:rFonts w:ascii="Courier New" w:eastAsia="Times New Roman" w:hAnsi="Courier New" w:cs="Courier New"/>
          <w:szCs w:val="20"/>
        </w:rPr>
        <w:t xml:space="preserve">859-566-5632 or Ms. Dana </w:t>
      </w:r>
      <w:proofErr w:type="spellStart"/>
      <w:r w:rsidRPr="00776064">
        <w:rPr>
          <w:rFonts w:ascii="Courier New" w:eastAsia="Times New Roman" w:hAnsi="Courier New" w:cs="Courier New"/>
          <w:szCs w:val="20"/>
        </w:rPr>
        <w:t>Shimfessel</w:t>
      </w:r>
      <w:proofErr w:type="spellEnd"/>
      <w:r w:rsidRPr="00776064">
        <w:rPr>
          <w:rFonts w:ascii="Courier New" w:eastAsia="Times New Roman" w:hAnsi="Courier New" w:cs="Courier New"/>
          <w:szCs w:val="20"/>
        </w:rPr>
        <w:t xml:space="preserve"> at 859-566-5603.</w:t>
      </w:r>
      <w:proofErr w:type="gramEnd"/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  <w:r w:rsidRPr="00776064">
        <w:rPr>
          <w:rFonts w:ascii="Courier New" w:eastAsia="Times New Roman" w:hAnsi="Courier New" w:cs="Courier New"/>
          <w:szCs w:val="20"/>
        </w:rPr>
        <w:t xml:space="preserve"> </w:t>
      </w:r>
    </w:p>
    <w:p w:rsidR="00776064" w:rsidRPr="00776064" w:rsidRDefault="00776064" w:rsidP="00776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</w:rPr>
      </w:pPr>
    </w:p>
    <w:p w:rsidR="00ED695B" w:rsidRPr="00776064" w:rsidRDefault="00ED695B">
      <w:pPr>
        <w:rPr>
          <w:sz w:val="24"/>
        </w:rPr>
      </w:pPr>
    </w:p>
    <w:sectPr w:rsidR="00ED695B" w:rsidRPr="00776064" w:rsidSect="00127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776064"/>
    <w:rsid w:val="00127164"/>
    <w:rsid w:val="001C2329"/>
    <w:rsid w:val="00776064"/>
    <w:rsid w:val="00ED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6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606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6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606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Jeffrey.J.Sawhill</cp:lastModifiedBy>
  <cp:revision>2</cp:revision>
  <dcterms:created xsi:type="dcterms:W3CDTF">2013-06-05T17:39:00Z</dcterms:created>
  <dcterms:modified xsi:type="dcterms:W3CDTF">2013-06-05T17:39:00Z</dcterms:modified>
</cp:coreProperties>
</file>