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64" w:rsidRDefault="00155A64" w:rsidP="00155A64">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-83820</wp:posOffset>
            </wp:positionH>
            <wp:positionV relativeFrom="paragraph">
              <wp:posOffset>-278130</wp:posOffset>
            </wp:positionV>
            <wp:extent cx="6019165" cy="1002030"/>
            <wp:effectExtent l="19050" t="0" r="635" b="0"/>
            <wp:wrapTight wrapText="bothSides">
              <wp:wrapPolygon edited="0">
                <wp:start x="-68" y="0"/>
                <wp:lineTo x="-68" y="21354"/>
                <wp:lineTo x="21602" y="21354"/>
                <wp:lineTo x="21602" y="0"/>
                <wp:lineTo x="-68" y="0"/>
              </wp:wrapPolygon>
            </wp:wrapTight>
            <wp:docPr id="1" name="Picture 1" descr="http://www.pica.army.mil/pmccs/Images/PMCCS_COMBAT-M_Shou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a.army.mil/pmccs/Images/PMCCS_COMBAT-M_Shoulder.jpg"/>
                    <pic:cNvPicPr>
                      <a:picLocks noChangeAspect="1" noChangeArrowheads="1"/>
                    </pic:cNvPicPr>
                  </pic:nvPicPr>
                  <pic:blipFill>
                    <a:blip r:embed="rId5" cstate="print"/>
                    <a:srcRect/>
                    <a:stretch>
                      <a:fillRect/>
                    </a:stretch>
                  </pic:blipFill>
                  <pic:spPr bwMode="auto">
                    <a:xfrm>
                      <a:off x="0" y="0"/>
                      <a:ext cx="6019165" cy="1002030"/>
                    </a:xfrm>
                    <a:prstGeom prst="rect">
                      <a:avLst/>
                    </a:prstGeom>
                    <a:noFill/>
                    <a:ln w="9525">
                      <a:noFill/>
                      <a:miter lim="800000"/>
                      <a:headEnd/>
                      <a:tailEnd/>
                    </a:ln>
                  </pic:spPr>
                </pic:pic>
              </a:graphicData>
            </a:graphic>
          </wp:anchor>
        </w:drawing>
      </w:r>
      <w:r w:rsidRPr="00155A64">
        <w:rPr>
          <w:rFonts w:ascii="Times New Roman" w:eastAsia="Times New Roman" w:hAnsi="Times New Roman" w:cs="Times New Roman"/>
          <w:b/>
          <w:bCs/>
          <w:sz w:val="27"/>
          <w:szCs w:val="27"/>
        </w:rPr>
        <w:t>PD Combat Munitions</w:t>
      </w:r>
    </w:p>
    <w:p w:rsidR="00155A64" w:rsidRDefault="00155A64" w:rsidP="00155A64">
      <w:pPr>
        <w:pStyle w:val="Heading1"/>
      </w:pPr>
      <w:r>
        <w:t xml:space="preserve">M141 Bunker Defeat </w:t>
      </w:r>
      <w:proofErr w:type="spellStart"/>
      <w:r>
        <w:t>Munition</w:t>
      </w:r>
      <w:proofErr w:type="spellEnd"/>
      <w:r>
        <w:t xml:space="preserve"> (BDM)</w:t>
      </w:r>
    </w:p>
    <w:p w:rsidR="00155A64" w:rsidRDefault="00155A64" w:rsidP="00155A64">
      <w:pPr>
        <w:pStyle w:val="NormalWeb"/>
      </w:pPr>
      <w:r>
        <w:rPr>
          <w:noProof/>
        </w:rPr>
        <w:drawing>
          <wp:anchor distT="0" distB="0" distL="114300" distR="114300" simplePos="0" relativeHeight="251659264" behindDoc="1" locked="0" layoutInCell="1" allowOverlap="1">
            <wp:simplePos x="0" y="0"/>
            <wp:positionH relativeFrom="column">
              <wp:posOffset>4137025</wp:posOffset>
            </wp:positionH>
            <wp:positionV relativeFrom="paragraph">
              <wp:posOffset>400685</wp:posOffset>
            </wp:positionV>
            <wp:extent cx="1991995" cy="1938020"/>
            <wp:effectExtent l="19050" t="0" r="8255" b="0"/>
            <wp:wrapTight wrapText="bothSides">
              <wp:wrapPolygon edited="0">
                <wp:start x="-207" y="0"/>
                <wp:lineTo x="-207" y="21444"/>
                <wp:lineTo x="21690" y="21444"/>
                <wp:lineTo x="21690" y="0"/>
                <wp:lineTo x="-207" y="0"/>
              </wp:wrapPolygon>
            </wp:wrapTight>
            <wp:docPr id="2" name="Picture 3" descr="http://www.pica.army.mil/pmccs/CombatMunitions/ShoulderLaunched/_images/b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a.army.mil/pmccs/CombatMunitions/ShoulderLaunched/_images/bdm.jpg"/>
                    <pic:cNvPicPr>
                      <a:picLocks noChangeAspect="1" noChangeArrowheads="1"/>
                    </pic:cNvPicPr>
                  </pic:nvPicPr>
                  <pic:blipFill>
                    <a:blip r:embed="rId6" cstate="print"/>
                    <a:srcRect/>
                    <a:stretch>
                      <a:fillRect/>
                    </a:stretch>
                  </pic:blipFill>
                  <pic:spPr bwMode="auto">
                    <a:xfrm>
                      <a:off x="0" y="0"/>
                      <a:ext cx="1991995" cy="1938020"/>
                    </a:xfrm>
                    <a:prstGeom prst="rect">
                      <a:avLst/>
                    </a:prstGeom>
                    <a:noFill/>
                    <a:ln w="9525">
                      <a:noFill/>
                      <a:miter lim="800000"/>
                      <a:headEnd/>
                      <a:tailEnd/>
                    </a:ln>
                  </pic:spPr>
                </pic:pic>
              </a:graphicData>
            </a:graphic>
          </wp:anchor>
        </w:drawing>
      </w:r>
      <w:r>
        <w:t>The M141 BDM meets the requirement to fill the lightweight “Bunker Buster” void in the Army inventory. The man-portable system is highly effective against targets including fortified positions, such as earth and timber bunkers, and is capable of breaching masonry walls and neutralizing light armored vehicles at ranges of 15-250 meters. The disposable weapon shares its warhead with the USMC shoulder-launched multipurpose assault weapon (SMAW) and is also known as the SMAW-D.</w:t>
      </w:r>
      <w:r w:rsidRPr="00155A64">
        <w:rPr>
          <w:noProof/>
        </w:rPr>
        <w:t xml:space="preserve"> </w:t>
      </w:r>
    </w:p>
    <w:p w:rsidR="00155A64" w:rsidRDefault="00155A64" w:rsidP="00155A64">
      <w:pPr>
        <w:pStyle w:val="NormalWeb"/>
      </w:pPr>
      <w:r>
        <w:t xml:space="preserve">In a </w:t>
      </w:r>
      <w:r>
        <w:rPr>
          <w:rStyle w:val="Emphasis"/>
        </w:rPr>
        <w:t>U.S. News and World Report</w:t>
      </w:r>
      <w:r>
        <w:t xml:space="preserve"> article, American Soldiers said, “After a brief rest, the team set off to pursue the </w:t>
      </w:r>
      <w:proofErr w:type="spellStart"/>
      <w:r>
        <w:t>Ansar</w:t>
      </w:r>
      <w:proofErr w:type="spellEnd"/>
      <w:r>
        <w:t xml:space="preserve"> fighters fleeing toward the border. Insurgents were rumored to stay in these caves. A hail of gunfire erupted from the caves as the targets approached. [Grit] pulled out a new cave-busting antitank missile called a ‘SMAW-D.’ The sound of the explosion was deafening. The SMAW-D demolished the cave. The firing from inside ceased.”</w:t>
      </w:r>
    </w:p>
    <w:p w:rsidR="00155A64" w:rsidRDefault="00720B38" w:rsidP="00155A64">
      <w:hyperlink r:id="rId7" w:history="1">
        <w:r w:rsidR="00155A64" w:rsidRPr="00C40B78">
          <w:rPr>
            <w:rStyle w:val="Hyperlink"/>
          </w:rPr>
          <w:t>http://www.pica.army.mil/pmccs/SLM_Safety_Videos.html</w:t>
        </w:r>
      </w:hyperlink>
      <w:r w:rsidR="00155A64">
        <w:tab/>
      </w:r>
    </w:p>
    <w:p w:rsidR="00155A64" w:rsidRDefault="00155A64">
      <w:r>
        <w:br w:type="page"/>
      </w:r>
    </w:p>
    <w:p w:rsidR="00155A64" w:rsidRDefault="00155A64" w:rsidP="00155A64">
      <w:pPr>
        <w:pStyle w:val="Heading1"/>
      </w:pPr>
      <w:r>
        <w:rPr>
          <w:noProof/>
        </w:rPr>
        <w:lastRenderedPageBreak/>
        <w:drawing>
          <wp:anchor distT="0" distB="0" distL="114300" distR="114300" simplePos="0" relativeHeight="251661312" behindDoc="1" locked="0" layoutInCell="1" allowOverlap="1">
            <wp:simplePos x="0" y="0"/>
            <wp:positionH relativeFrom="column">
              <wp:posOffset>4722495</wp:posOffset>
            </wp:positionH>
            <wp:positionV relativeFrom="paragraph">
              <wp:posOffset>146050</wp:posOffset>
            </wp:positionV>
            <wp:extent cx="1143635" cy="1148080"/>
            <wp:effectExtent l="19050" t="0" r="0" b="0"/>
            <wp:wrapTight wrapText="bothSides">
              <wp:wrapPolygon edited="0">
                <wp:start x="-360" y="0"/>
                <wp:lineTo x="-360" y="21146"/>
                <wp:lineTo x="21588" y="21146"/>
                <wp:lineTo x="21588" y="0"/>
                <wp:lineTo x="-360" y="0"/>
              </wp:wrapPolygon>
            </wp:wrapTight>
            <wp:docPr id="5" name="Picture 5" descr="M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84"/>
                    <pic:cNvPicPr>
                      <a:picLocks noChangeAspect="1" noChangeArrowheads="1"/>
                    </pic:cNvPicPr>
                  </pic:nvPicPr>
                  <pic:blipFill>
                    <a:blip r:embed="rId8" cstate="print"/>
                    <a:srcRect/>
                    <a:stretch>
                      <a:fillRect/>
                    </a:stretch>
                  </pic:blipFill>
                  <pic:spPr bwMode="auto">
                    <a:xfrm>
                      <a:off x="0" y="0"/>
                      <a:ext cx="1143635" cy="1148080"/>
                    </a:xfrm>
                    <a:prstGeom prst="rect">
                      <a:avLst/>
                    </a:prstGeom>
                    <a:noFill/>
                    <a:ln w="9525">
                      <a:noFill/>
                      <a:miter lim="800000"/>
                      <a:headEnd/>
                      <a:tailEnd/>
                    </a:ln>
                  </pic:spPr>
                </pic:pic>
              </a:graphicData>
            </a:graphic>
          </wp:anchor>
        </w:drawing>
      </w:r>
      <w:r>
        <w:t>Non-Lethal Hand Grenades</w:t>
      </w:r>
      <w:r>
        <w:tab/>
      </w:r>
      <w:r>
        <w:tab/>
      </w:r>
    </w:p>
    <w:tbl>
      <w:tblPr>
        <w:tblpPr w:leftFromText="45" w:rightFromText="45" w:vertAnchor="text" w:tblpXSpec="right" w:tblpYSpec="center"/>
        <w:tblW w:w="1350" w:type="pct"/>
        <w:tblCellSpacing w:w="75" w:type="dxa"/>
        <w:tblCellMar>
          <w:left w:w="0" w:type="dxa"/>
          <w:right w:w="0" w:type="dxa"/>
        </w:tblCellMar>
        <w:tblLook w:val="04A0"/>
      </w:tblPr>
      <w:tblGrid>
        <w:gridCol w:w="2608"/>
      </w:tblGrid>
      <w:tr w:rsidR="00155A64" w:rsidTr="00155A64">
        <w:trPr>
          <w:trHeight w:val="2310"/>
          <w:tblCellSpacing w:w="75" w:type="dxa"/>
        </w:trPr>
        <w:tc>
          <w:tcPr>
            <w:tcW w:w="2250" w:type="dxa"/>
            <w:tcBorders>
              <w:top w:val="nil"/>
              <w:left w:val="nil"/>
              <w:bottom w:val="nil"/>
              <w:right w:val="nil"/>
            </w:tcBorders>
            <w:vAlign w:val="center"/>
            <w:hideMark/>
          </w:tcPr>
          <w:p w:rsidR="00155A64" w:rsidRDefault="00155A64">
            <w:pPr>
              <w:jc w:val="center"/>
              <w:rPr>
                <w:sz w:val="24"/>
                <w:szCs w:val="24"/>
              </w:rPr>
            </w:pPr>
          </w:p>
          <w:p w:rsidR="00155A64" w:rsidRDefault="00155A64" w:rsidP="00155A64">
            <w:pPr>
              <w:rPr>
                <w:sz w:val="24"/>
                <w:szCs w:val="24"/>
              </w:rPr>
            </w:pPr>
          </w:p>
          <w:p w:rsidR="00155A64" w:rsidRDefault="00155A64" w:rsidP="00155A64">
            <w:pPr>
              <w:rPr>
                <w:sz w:val="24"/>
                <w:szCs w:val="24"/>
              </w:rPr>
            </w:pPr>
          </w:p>
          <w:p w:rsidR="00155A64" w:rsidRPr="00155A64" w:rsidRDefault="00155A64" w:rsidP="00155A64">
            <w:pPr>
              <w:rPr>
                <w:sz w:val="24"/>
                <w:szCs w:val="24"/>
              </w:rPr>
            </w:pPr>
            <w:r>
              <w:t>M84 Stun Hand Grenade</w:t>
            </w:r>
          </w:p>
        </w:tc>
      </w:tr>
      <w:tr w:rsidR="00155A64" w:rsidTr="00155A64">
        <w:trPr>
          <w:tblCellSpacing w:w="75" w:type="dxa"/>
        </w:trPr>
        <w:tc>
          <w:tcPr>
            <w:tcW w:w="0" w:type="auto"/>
            <w:tcBorders>
              <w:top w:val="nil"/>
              <w:left w:val="nil"/>
              <w:bottom w:val="nil"/>
              <w:right w:val="nil"/>
            </w:tcBorders>
            <w:vAlign w:val="center"/>
            <w:hideMark/>
          </w:tcPr>
          <w:p w:rsidR="00155A64" w:rsidRDefault="00155A64">
            <w:pPr>
              <w:jc w:val="center"/>
              <w:rPr>
                <w:sz w:val="24"/>
                <w:szCs w:val="24"/>
              </w:rPr>
            </w:pPr>
          </w:p>
        </w:tc>
      </w:tr>
      <w:tr w:rsidR="00155A64" w:rsidTr="00155A64">
        <w:trPr>
          <w:tblCellSpacing w:w="75" w:type="dxa"/>
        </w:trPr>
        <w:tc>
          <w:tcPr>
            <w:tcW w:w="0" w:type="auto"/>
            <w:tcBorders>
              <w:top w:val="nil"/>
              <w:left w:val="nil"/>
              <w:bottom w:val="nil"/>
              <w:right w:val="nil"/>
            </w:tcBorders>
            <w:vAlign w:val="center"/>
            <w:hideMark/>
          </w:tcPr>
          <w:p w:rsidR="00155A64" w:rsidRDefault="00155A64">
            <w:pPr>
              <w:jc w:val="center"/>
              <w:rPr>
                <w:sz w:val="24"/>
                <w:szCs w:val="24"/>
              </w:rPr>
            </w:pPr>
          </w:p>
        </w:tc>
      </w:tr>
      <w:tr w:rsidR="00155A64" w:rsidTr="00155A64">
        <w:trPr>
          <w:tblCellSpacing w:w="75" w:type="dxa"/>
        </w:trPr>
        <w:tc>
          <w:tcPr>
            <w:tcW w:w="0" w:type="auto"/>
            <w:tcBorders>
              <w:top w:val="nil"/>
              <w:left w:val="nil"/>
              <w:bottom w:val="nil"/>
              <w:right w:val="nil"/>
            </w:tcBorders>
            <w:vAlign w:val="center"/>
            <w:hideMark/>
          </w:tcPr>
          <w:p w:rsidR="00155A64" w:rsidRDefault="00155A64">
            <w:pPr>
              <w:jc w:val="center"/>
              <w:rPr>
                <w:sz w:val="24"/>
                <w:szCs w:val="24"/>
              </w:rPr>
            </w:pPr>
            <w:r>
              <w:t>XM104 Non-Lethal Bursting Hand Grenade</w:t>
            </w:r>
          </w:p>
        </w:tc>
      </w:tr>
    </w:tbl>
    <w:p w:rsidR="00155A64" w:rsidRDefault="00155A64" w:rsidP="00155A64">
      <w:pPr>
        <w:pStyle w:val="NormalWeb"/>
      </w:pPr>
      <w:r>
        <w:t xml:space="preserve">The M84 Stun Grenade uses a bright flash and loud report to disorient individuals allowing for dispersal or easier apprehension. It is intended for use in confined spaces such as room clearing. </w:t>
      </w:r>
    </w:p>
    <w:p w:rsidR="00155A64" w:rsidRDefault="00155A64" w:rsidP="00155A64">
      <w:pPr>
        <w:pStyle w:val="NormalWeb"/>
      </w:pPr>
      <w:r>
        <w:rPr>
          <w:noProof/>
        </w:rPr>
        <w:drawing>
          <wp:anchor distT="0" distB="0" distL="114300" distR="114300" simplePos="0" relativeHeight="251660288" behindDoc="1" locked="0" layoutInCell="1" allowOverlap="1">
            <wp:simplePos x="0" y="0"/>
            <wp:positionH relativeFrom="column">
              <wp:posOffset>3128010</wp:posOffset>
            </wp:positionH>
            <wp:positionV relativeFrom="paragraph">
              <wp:posOffset>446405</wp:posOffset>
            </wp:positionV>
            <wp:extent cx="1054100" cy="1572260"/>
            <wp:effectExtent l="19050" t="0" r="0" b="0"/>
            <wp:wrapTight wrapText="bothSides">
              <wp:wrapPolygon edited="0">
                <wp:start x="-390" y="0"/>
                <wp:lineTo x="-390" y="21460"/>
                <wp:lineTo x="21470" y="21460"/>
                <wp:lineTo x="21470" y="0"/>
                <wp:lineTo x="-390" y="0"/>
              </wp:wrapPolygon>
            </wp:wrapTight>
            <wp:docPr id="6" name="Picture 6" descr="XM104 Non-Lethal Bursting Hand Gre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M104 Non-Lethal Bursting Hand Grenade"/>
                    <pic:cNvPicPr>
                      <a:picLocks noChangeAspect="1" noChangeArrowheads="1"/>
                    </pic:cNvPicPr>
                  </pic:nvPicPr>
                  <pic:blipFill>
                    <a:blip r:embed="rId9" cstate="print"/>
                    <a:srcRect/>
                    <a:stretch>
                      <a:fillRect/>
                    </a:stretch>
                  </pic:blipFill>
                  <pic:spPr bwMode="auto">
                    <a:xfrm>
                      <a:off x="0" y="0"/>
                      <a:ext cx="1054100" cy="1572260"/>
                    </a:xfrm>
                    <a:prstGeom prst="rect">
                      <a:avLst/>
                    </a:prstGeom>
                    <a:noFill/>
                    <a:ln w="9525">
                      <a:noFill/>
                      <a:miter lim="800000"/>
                      <a:headEnd/>
                      <a:tailEnd/>
                    </a:ln>
                  </pic:spPr>
                </pic:pic>
              </a:graphicData>
            </a:graphic>
          </wp:anchor>
        </w:drawing>
      </w:r>
      <w:r>
        <w:t>The XM104 Non-Lethal Bursting Hand Grenade produces a shower of high velocity rubber pellets that sting and disorient potential targets.</w:t>
      </w:r>
    </w:p>
    <w:p w:rsidR="00155A64" w:rsidRDefault="00155A64"/>
    <w:p w:rsidR="00155A64" w:rsidRDefault="00720B38" w:rsidP="00155A64">
      <w:hyperlink r:id="rId10" w:anchor="nogo13" w:history="1">
        <w:r w:rsidR="00155A64" w:rsidRPr="00C40B78">
          <w:rPr>
            <w:rStyle w:val="Hyperlink"/>
          </w:rPr>
          <w:t>http://www.pica.army.mil/pmccs/CombatMunitions/NonLethalAmmo.html#nogo13</w:t>
        </w:r>
      </w:hyperlink>
      <w:r w:rsidR="00155A64">
        <w:tab/>
      </w:r>
    </w:p>
    <w:p w:rsidR="00155A64" w:rsidRPr="00155A64" w:rsidRDefault="00155A64" w:rsidP="00155A64">
      <w:pPr>
        <w:rPr>
          <w:b/>
        </w:rPr>
      </w:pPr>
      <w:r w:rsidRPr="00155A64">
        <w:rPr>
          <w:b/>
        </w:rPr>
        <w:t>66mm NL Grenades</w:t>
      </w:r>
    </w:p>
    <w:p w:rsidR="00155A64" w:rsidRDefault="00155A64" w:rsidP="00155A64">
      <w:pPr>
        <w:pStyle w:val="NormalWeb"/>
      </w:pPr>
      <w:r>
        <w:t xml:space="preserve">The L96A1 Riot Control Grenade projects a cloud of riot control agent at extended ranges to subdue and disperse large groups. The M98 and M99 are the latest in a growing arsenal of NLM. The M98 Distraction Grenade releases three stun sub-munitions that produce a bright flash and loud report to disorient individuals or large groups. The M99 Blunt Trauma Grenade fires three sub-munitions that each release a shower of high velocity rubber pellets into a crowd.  </w:t>
      </w:r>
    </w:p>
    <w:tbl>
      <w:tblPr>
        <w:tblpPr w:leftFromText="45" w:rightFromText="45" w:vertAnchor="text"/>
        <w:tblW w:w="5000" w:type="pct"/>
        <w:tblCellSpacing w:w="75" w:type="dxa"/>
        <w:tblCellMar>
          <w:left w:w="0" w:type="dxa"/>
          <w:right w:w="0" w:type="dxa"/>
        </w:tblCellMar>
        <w:tblLook w:val="04A0"/>
      </w:tblPr>
      <w:tblGrid>
        <w:gridCol w:w="3245"/>
        <w:gridCol w:w="3170"/>
        <w:gridCol w:w="3245"/>
      </w:tblGrid>
      <w:tr w:rsidR="00155A64" w:rsidTr="00155A64">
        <w:trPr>
          <w:tblCellSpacing w:w="75" w:type="dxa"/>
        </w:trPr>
        <w:tc>
          <w:tcPr>
            <w:tcW w:w="2250" w:type="dxa"/>
            <w:tcBorders>
              <w:top w:val="nil"/>
              <w:left w:val="nil"/>
              <w:bottom w:val="nil"/>
              <w:right w:val="nil"/>
            </w:tcBorders>
            <w:vAlign w:val="center"/>
            <w:hideMark/>
          </w:tcPr>
          <w:p w:rsidR="00155A64" w:rsidRDefault="00155A64">
            <w:pPr>
              <w:jc w:val="center"/>
              <w:rPr>
                <w:sz w:val="24"/>
                <w:szCs w:val="24"/>
              </w:rPr>
            </w:pPr>
            <w:r>
              <w:rPr>
                <w:noProof/>
              </w:rPr>
              <w:lastRenderedPageBreak/>
              <w:drawing>
                <wp:inline distT="0" distB="0" distL="0" distR="0">
                  <wp:extent cx="1426210" cy="2033905"/>
                  <wp:effectExtent l="19050" t="0" r="2540" b="0"/>
                  <wp:docPr id="9" name="Picture 9" descr="L9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96A"/>
                          <pic:cNvPicPr>
                            <a:picLocks noChangeAspect="1" noChangeArrowheads="1"/>
                          </pic:cNvPicPr>
                        </pic:nvPicPr>
                        <pic:blipFill>
                          <a:blip r:embed="rId11" cstate="print"/>
                          <a:srcRect/>
                          <a:stretch>
                            <a:fillRect/>
                          </a:stretch>
                        </pic:blipFill>
                        <pic:spPr bwMode="auto">
                          <a:xfrm>
                            <a:off x="0" y="0"/>
                            <a:ext cx="1426210" cy="2033905"/>
                          </a:xfrm>
                          <a:prstGeom prst="rect">
                            <a:avLst/>
                          </a:prstGeom>
                          <a:noFill/>
                          <a:ln w="9525">
                            <a:noFill/>
                            <a:miter lim="800000"/>
                            <a:headEnd/>
                            <a:tailEnd/>
                          </a:ln>
                        </pic:spPr>
                      </pic:pic>
                    </a:graphicData>
                  </a:graphic>
                </wp:inline>
              </w:drawing>
            </w:r>
            <w:r>
              <w:br/>
            </w:r>
            <w:r>
              <w:rPr>
                <w:rStyle w:val="sml"/>
              </w:rPr>
              <w:t xml:space="preserve">L96A1 Riot Control Grenade </w:t>
            </w:r>
          </w:p>
        </w:tc>
        <w:tc>
          <w:tcPr>
            <w:tcW w:w="2250" w:type="dxa"/>
            <w:tcBorders>
              <w:top w:val="nil"/>
              <w:left w:val="nil"/>
              <w:bottom w:val="nil"/>
              <w:right w:val="nil"/>
            </w:tcBorders>
            <w:vAlign w:val="center"/>
            <w:hideMark/>
          </w:tcPr>
          <w:p w:rsidR="00155A64" w:rsidRDefault="00155A64">
            <w:pPr>
              <w:jc w:val="center"/>
              <w:rPr>
                <w:sz w:val="24"/>
                <w:szCs w:val="24"/>
              </w:rPr>
            </w:pPr>
            <w:r>
              <w:rPr>
                <w:noProof/>
              </w:rPr>
              <w:drawing>
                <wp:inline distT="0" distB="0" distL="0" distR="0">
                  <wp:extent cx="1426210" cy="2033905"/>
                  <wp:effectExtent l="19050" t="0" r="2540" b="0"/>
                  <wp:docPr id="10" name="Picture 10" descr="M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99"/>
                          <pic:cNvPicPr>
                            <a:picLocks noChangeAspect="1" noChangeArrowheads="1"/>
                          </pic:cNvPicPr>
                        </pic:nvPicPr>
                        <pic:blipFill>
                          <a:blip r:embed="rId12" cstate="print"/>
                          <a:srcRect/>
                          <a:stretch>
                            <a:fillRect/>
                          </a:stretch>
                        </pic:blipFill>
                        <pic:spPr bwMode="auto">
                          <a:xfrm>
                            <a:off x="0" y="0"/>
                            <a:ext cx="1426210" cy="2033905"/>
                          </a:xfrm>
                          <a:prstGeom prst="rect">
                            <a:avLst/>
                          </a:prstGeom>
                          <a:noFill/>
                          <a:ln w="9525">
                            <a:noFill/>
                            <a:miter lim="800000"/>
                            <a:headEnd/>
                            <a:tailEnd/>
                          </a:ln>
                        </pic:spPr>
                      </pic:pic>
                    </a:graphicData>
                  </a:graphic>
                </wp:inline>
              </w:drawing>
            </w:r>
            <w:r>
              <w:br/>
            </w:r>
            <w:r>
              <w:rPr>
                <w:rStyle w:val="sml"/>
              </w:rPr>
              <w:t xml:space="preserve">M98 Distraction Grenade </w:t>
            </w:r>
          </w:p>
        </w:tc>
        <w:tc>
          <w:tcPr>
            <w:tcW w:w="2250" w:type="dxa"/>
            <w:tcBorders>
              <w:top w:val="nil"/>
              <w:left w:val="nil"/>
              <w:bottom w:val="nil"/>
              <w:right w:val="nil"/>
            </w:tcBorders>
            <w:vAlign w:val="center"/>
            <w:hideMark/>
          </w:tcPr>
          <w:p w:rsidR="00155A64" w:rsidRDefault="00155A64">
            <w:pPr>
              <w:jc w:val="center"/>
              <w:rPr>
                <w:sz w:val="24"/>
                <w:szCs w:val="24"/>
              </w:rPr>
            </w:pPr>
            <w:r>
              <w:rPr>
                <w:noProof/>
              </w:rPr>
              <w:drawing>
                <wp:inline distT="0" distB="0" distL="0" distR="0">
                  <wp:extent cx="1426210" cy="2033905"/>
                  <wp:effectExtent l="19050" t="0" r="2540" b="0"/>
                  <wp:docPr id="11" name="Picture 11" descr="M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99"/>
                          <pic:cNvPicPr>
                            <a:picLocks noChangeAspect="1" noChangeArrowheads="1"/>
                          </pic:cNvPicPr>
                        </pic:nvPicPr>
                        <pic:blipFill>
                          <a:blip r:embed="rId13" cstate="print"/>
                          <a:srcRect/>
                          <a:stretch>
                            <a:fillRect/>
                          </a:stretch>
                        </pic:blipFill>
                        <pic:spPr bwMode="auto">
                          <a:xfrm>
                            <a:off x="0" y="0"/>
                            <a:ext cx="1426210" cy="2033905"/>
                          </a:xfrm>
                          <a:prstGeom prst="rect">
                            <a:avLst/>
                          </a:prstGeom>
                          <a:noFill/>
                          <a:ln w="9525">
                            <a:noFill/>
                            <a:miter lim="800000"/>
                            <a:headEnd/>
                            <a:tailEnd/>
                          </a:ln>
                        </pic:spPr>
                      </pic:pic>
                    </a:graphicData>
                  </a:graphic>
                </wp:inline>
              </w:drawing>
            </w:r>
          </w:p>
        </w:tc>
      </w:tr>
    </w:tbl>
    <w:p w:rsidR="00155A64" w:rsidRDefault="00155A64" w:rsidP="00155A64"/>
    <w:p w:rsidR="00155A64" w:rsidRDefault="00155A64">
      <w:r>
        <w:br w:type="page"/>
      </w:r>
    </w:p>
    <w:p w:rsidR="00155A64" w:rsidRDefault="00155A64" w:rsidP="00155A64">
      <w:pPr>
        <w:pStyle w:val="Heading1"/>
      </w:pPr>
      <w:r>
        <w:rPr>
          <w:noProof/>
        </w:rPr>
        <w:lastRenderedPageBreak/>
        <w:drawing>
          <wp:anchor distT="0" distB="0" distL="114300" distR="114300" simplePos="0" relativeHeight="251662336" behindDoc="1" locked="0" layoutInCell="1" allowOverlap="1">
            <wp:simplePos x="0" y="0"/>
            <wp:positionH relativeFrom="column">
              <wp:posOffset>4780915</wp:posOffset>
            </wp:positionH>
            <wp:positionV relativeFrom="paragraph">
              <wp:posOffset>-117475</wp:posOffset>
            </wp:positionV>
            <wp:extent cx="1426845" cy="2860040"/>
            <wp:effectExtent l="19050" t="0" r="1905" b="0"/>
            <wp:wrapTight wrapText="bothSides">
              <wp:wrapPolygon edited="0">
                <wp:start x="-288" y="0"/>
                <wp:lineTo x="-288" y="21437"/>
                <wp:lineTo x="21629" y="21437"/>
                <wp:lineTo x="21629" y="0"/>
                <wp:lineTo x="-288" y="0"/>
              </wp:wrapPolygon>
            </wp:wrapTight>
            <wp:docPr id="15" name="Picture 15" descr="M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CM"/>
                    <pic:cNvPicPr>
                      <a:picLocks noChangeAspect="1" noChangeArrowheads="1"/>
                    </pic:cNvPicPr>
                  </pic:nvPicPr>
                  <pic:blipFill>
                    <a:blip r:embed="rId14" cstate="print"/>
                    <a:srcRect/>
                    <a:stretch>
                      <a:fillRect/>
                    </a:stretch>
                  </pic:blipFill>
                  <pic:spPr bwMode="auto">
                    <a:xfrm>
                      <a:off x="0" y="0"/>
                      <a:ext cx="1426845" cy="2860040"/>
                    </a:xfrm>
                    <a:prstGeom prst="rect">
                      <a:avLst/>
                    </a:prstGeom>
                    <a:noFill/>
                    <a:ln w="9525">
                      <a:noFill/>
                      <a:miter lim="800000"/>
                      <a:headEnd/>
                      <a:tailEnd/>
                    </a:ln>
                  </pic:spPr>
                </pic:pic>
              </a:graphicData>
            </a:graphic>
          </wp:anchor>
        </w:drawing>
      </w:r>
      <w:r>
        <w:t xml:space="preserve">M5 Modular Crowd Control </w:t>
      </w:r>
      <w:proofErr w:type="spellStart"/>
      <w:r>
        <w:t>Munition</w:t>
      </w:r>
      <w:proofErr w:type="spellEnd"/>
      <w:r>
        <w:t xml:space="preserve"> (MCCM)</w:t>
      </w:r>
    </w:p>
    <w:p w:rsidR="00155A64" w:rsidRDefault="00155A64" w:rsidP="00155A64">
      <w:r>
        <w:rPr>
          <w:noProof/>
        </w:rPr>
        <w:drawing>
          <wp:anchor distT="0" distB="0" distL="114300" distR="114300" simplePos="0" relativeHeight="251663360" behindDoc="1" locked="0" layoutInCell="1" allowOverlap="1">
            <wp:simplePos x="0" y="0"/>
            <wp:positionH relativeFrom="column">
              <wp:posOffset>172085</wp:posOffset>
            </wp:positionH>
            <wp:positionV relativeFrom="paragraph">
              <wp:posOffset>35560</wp:posOffset>
            </wp:positionV>
            <wp:extent cx="1426845" cy="1638300"/>
            <wp:effectExtent l="19050" t="0" r="1905" b="0"/>
            <wp:wrapTight wrapText="bothSides">
              <wp:wrapPolygon edited="0">
                <wp:start x="-288" y="0"/>
                <wp:lineTo x="-288" y="21349"/>
                <wp:lineTo x="21629" y="21349"/>
                <wp:lineTo x="21629" y="0"/>
                <wp:lineTo x="-288" y="0"/>
              </wp:wrapPolygon>
            </wp:wrapTight>
            <wp:docPr id="16" name="Picture 16" descr="M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CM"/>
                    <pic:cNvPicPr>
                      <a:picLocks noChangeAspect="1" noChangeArrowheads="1"/>
                    </pic:cNvPicPr>
                  </pic:nvPicPr>
                  <pic:blipFill>
                    <a:blip r:embed="rId15" cstate="print"/>
                    <a:srcRect/>
                    <a:stretch>
                      <a:fillRect/>
                    </a:stretch>
                  </pic:blipFill>
                  <pic:spPr bwMode="auto">
                    <a:xfrm>
                      <a:off x="0" y="0"/>
                      <a:ext cx="1426845" cy="1638300"/>
                    </a:xfrm>
                    <a:prstGeom prst="rect">
                      <a:avLst/>
                    </a:prstGeom>
                    <a:noFill/>
                    <a:ln w="9525">
                      <a:noFill/>
                      <a:miter lim="800000"/>
                      <a:headEnd/>
                      <a:tailEnd/>
                    </a:ln>
                  </pic:spPr>
                </pic:pic>
              </a:graphicData>
            </a:graphic>
          </wp:anchor>
        </w:drawing>
      </w:r>
    </w:p>
    <w:p w:rsidR="00155A64" w:rsidRDefault="00155A64" w:rsidP="00155A64">
      <w:pPr>
        <w:pStyle w:val="NormalWeb"/>
      </w:pPr>
      <w:r>
        <w:t xml:space="preserve">The MCCM, a non-lethal variant of the Claymore </w:t>
      </w:r>
      <w:proofErr w:type="spellStart"/>
      <w:r>
        <w:t>munition</w:t>
      </w:r>
      <w:proofErr w:type="spellEnd"/>
      <w:r>
        <w:t xml:space="preserve">, is the Army and Marine Corps’ first non-lethal area coverage </w:t>
      </w:r>
      <w:proofErr w:type="spellStart"/>
      <w:r>
        <w:t>munition</w:t>
      </w:r>
      <w:proofErr w:type="spellEnd"/>
      <w:r>
        <w:t>. It provides crowd control and force protection and temporarily incapacitates a large, hostile group without causing life-threatening consequences to the targeted individuals. This gives the field commander the option to apply non-lethal force as a first line of defense against aggressive noncombatants.</w:t>
      </w:r>
    </w:p>
    <w:p w:rsidR="00155A64" w:rsidRDefault="00155A64" w:rsidP="00155A64">
      <w:pPr>
        <w:pStyle w:val="NormalWeb"/>
      </w:pPr>
      <w:r>
        <w:t>The MCCM is similar in appearance to the Claymore mine but is filled with 600 32-caliber rubber balls. It has an effective range of 5 to 15 meters with 60-degree coverage. MCCM is command control initiated and disorients and incapacitates targeted individuals for approximately 10 seconds.</w:t>
      </w:r>
    </w:p>
    <w:p w:rsidR="00155A64" w:rsidRDefault="00155A64">
      <w:r>
        <w:br w:type="page"/>
      </w:r>
    </w:p>
    <w:p w:rsidR="00155A64" w:rsidRDefault="00720B38" w:rsidP="00155A64">
      <w:pPr>
        <w:pStyle w:val="Heading1"/>
      </w:pPr>
      <w:hyperlink r:id="rId16" w:anchor="nogo14" w:history="1">
        <w:r w:rsidR="00155A64" w:rsidRPr="00C40B78">
          <w:rPr>
            <w:rStyle w:val="Hyperlink"/>
            <w:sz w:val="24"/>
            <w:szCs w:val="24"/>
          </w:rPr>
          <w:t>http://www.pica.army.mil/pmccs/CombatMunitions/NonLethalSys.html#nogo14</w:t>
        </w:r>
      </w:hyperlink>
      <w:r w:rsidR="00155A64">
        <w:rPr>
          <w:sz w:val="24"/>
          <w:szCs w:val="24"/>
        </w:rPr>
        <w:tab/>
      </w:r>
      <w:r w:rsidR="00155A64">
        <w:t xml:space="preserve">Counter Personnel Systems - Future Items </w:t>
      </w:r>
    </w:p>
    <w:tbl>
      <w:tblPr>
        <w:tblW w:w="5000" w:type="pct"/>
        <w:tblCellSpacing w:w="15" w:type="dxa"/>
        <w:tblCellMar>
          <w:top w:w="75" w:type="dxa"/>
          <w:left w:w="75" w:type="dxa"/>
          <w:bottom w:w="75" w:type="dxa"/>
          <w:right w:w="75" w:type="dxa"/>
        </w:tblCellMar>
        <w:tblLook w:val="04A0"/>
      </w:tblPr>
      <w:tblGrid>
        <w:gridCol w:w="2415"/>
        <w:gridCol w:w="7155"/>
      </w:tblGrid>
      <w:tr w:rsidR="00155A64" w:rsidTr="00155A64">
        <w:trPr>
          <w:tblCellSpacing w:w="15" w:type="dxa"/>
        </w:trPr>
        <w:tc>
          <w:tcPr>
            <w:tcW w:w="1250" w:type="pct"/>
            <w:vAlign w:val="center"/>
            <w:hideMark/>
          </w:tcPr>
          <w:p w:rsidR="00155A64" w:rsidRDefault="00155A64">
            <w:pPr>
              <w:jc w:val="center"/>
              <w:rPr>
                <w:sz w:val="24"/>
                <w:szCs w:val="24"/>
              </w:rPr>
            </w:pPr>
            <w:r>
              <w:rPr>
                <w:noProof/>
                <w:color w:val="0000FF"/>
              </w:rPr>
              <w:drawing>
                <wp:inline distT="0" distB="0" distL="0" distR="0">
                  <wp:extent cx="621665" cy="621665"/>
                  <wp:effectExtent l="19050" t="0" r="6985" b="0"/>
                  <wp:docPr id="19" name="Picture 19" descr="M98, Grenade, Launcher: 66mm Non-lethal, Distrac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98, Grenade, Launcher: 66mm Non-lethal, Distraction">
                            <a:hlinkClick r:id="rId17"/>
                          </pic:cNvPr>
                          <pic:cNvPicPr>
                            <a:picLocks noChangeAspect="1" noChangeArrowheads="1"/>
                          </pic:cNvPicPr>
                        </pic:nvPicPr>
                        <pic:blipFill>
                          <a:blip r:embed="rId18" cstate="print"/>
                          <a:srcRect/>
                          <a:stretch>
                            <a:fillRect/>
                          </a:stretch>
                        </pic:blipFill>
                        <pic:spPr bwMode="auto">
                          <a:xfrm>
                            <a:off x="0" y="0"/>
                            <a:ext cx="621665" cy="621665"/>
                          </a:xfrm>
                          <a:prstGeom prst="rect">
                            <a:avLst/>
                          </a:prstGeom>
                          <a:noFill/>
                          <a:ln w="9525">
                            <a:noFill/>
                            <a:miter lim="800000"/>
                            <a:headEnd/>
                            <a:tailEnd/>
                          </a:ln>
                        </pic:spPr>
                      </pic:pic>
                    </a:graphicData>
                  </a:graphic>
                </wp:inline>
              </w:drawing>
            </w:r>
            <w:r>
              <w:br/>
            </w:r>
            <w:r>
              <w:rPr>
                <w:rStyle w:val="sml"/>
              </w:rPr>
              <w:t>Click image to see larger view</w:t>
            </w:r>
          </w:p>
        </w:tc>
        <w:tc>
          <w:tcPr>
            <w:tcW w:w="0" w:type="auto"/>
            <w:vAlign w:val="center"/>
            <w:hideMark/>
          </w:tcPr>
          <w:p w:rsidR="00155A64" w:rsidRDefault="00155A64">
            <w:pPr>
              <w:pStyle w:val="NormalWeb"/>
            </w:pPr>
            <w:r>
              <w:rPr>
                <w:rStyle w:val="Strong"/>
              </w:rPr>
              <w:t>M98, Grenade, Launcher: 66mm Non-lethal, Distraction</w:t>
            </w:r>
            <w:r>
              <w:br/>
              <w:t xml:space="preserve">An area target </w:t>
            </w:r>
            <w:proofErr w:type="spellStart"/>
            <w:r>
              <w:t>munition</w:t>
            </w:r>
            <w:proofErr w:type="spellEnd"/>
            <w:r>
              <w:t xml:space="preserve"> that can be fired 80 to 100 meters from a standard LVOSS launcher on selected Armament Carrier HMMWVs as well as from any 66mm smoke launching system found on most armored vehicles. Once fired, it delivers a flash/bang diversionary or warning effect.</w:t>
            </w:r>
          </w:p>
        </w:tc>
      </w:tr>
      <w:tr w:rsidR="00155A64" w:rsidTr="00155A64">
        <w:trPr>
          <w:tblCellSpacing w:w="15" w:type="dxa"/>
        </w:trPr>
        <w:tc>
          <w:tcPr>
            <w:tcW w:w="1250" w:type="pct"/>
            <w:vAlign w:val="center"/>
            <w:hideMark/>
          </w:tcPr>
          <w:p w:rsidR="00155A64" w:rsidRDefault="00155A64">
            <w:pPr>
              <w:jc w:val="center"/>
              <w:rPr>
                <w:sz w:val="24"/>
                <w:szCs w:val="24"/>
              </w:rPr>
            </w:pPr>
            <w:r>
              <w:rPr>
                <w:noProof/>
                <w:color w:val="0000FF"/>
              </w:rPr>
              <w:drawing>
                <wp:inline distT="0" distB="0" distL="0" distR="0">
                  <wp:extent cx="621665" cy="621665"/>
                  <wp:effectExtent l="19050" t="0" r="6985" b="0"/>
                  <wp:docPr id="20" name="Picture 20" descr="M99, Grenade, Launcher: 66mm Non-lethal, Blunt Traum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99, Grenade, Launcher: 66mm Non-lethal, Blunt Trauma">
                            <a:hlinkClick r:id="rId17"/>
                          </pic:cNvPr>
                          <pic:cNvPicPr>
                            <a:picLocks noChangeAspect="1" noChangeArrowheads="1"/>
                          </pic:cNvPicPr>
                        </pic:nvPicPr>
                        <pic:blipFill>
                          <a:blip r:embed="rId19" cstate="print"/>
                          <a:srcRect/>
                          <a:stretch>
                            <a:fillRect/>
                          </a:stretch>
                        </pic:blipFill>
                        <pic:spPr bwMode="auto">
                          <a:xfrm>
                            <a:off x="0" y="0"/>
                            <a:ext cx="621665" cy="621665"/>
                          </a:xfrm>
                          <a:prstGeom prst="rect">
                            <a:avLst/>
                          </a:prstGeom>
                          <a:noFill/>
                          <a:ln w="9525">
                            <a:noFill/>
                            <a:miter lim="800000"/>
                            <a:headEnd/>
                            <a:tailEnd/>
                          </a:ln>
                        </pic:spPr>
                      </pic:pic>
                    </a:graphicData>
                  </a:graphic>
                </wp:inline>
              </w:drawing>
            </w:r>
            <w:r>
              <w:br/>
            </w:r>
            <w:r>
              <w:rPr>
                <w:rStyle w:val="sml"/>
              </w:rPr>
              <w:t>Click image to see larger view</w:t>
            </w:r>
          </w:p>
        </w:tc>
        <w:tc>
          <w:tcPr>
            <w:tcW w:w="3750" w:type="pct"/>
            <w:vAlign w:val="center"/>
            <w:hideMark/>
          </w:tcPr>
          <w:p w:rsidR="00155A64" w:rsidRDefault="00155A64">
            <w:pPr>
              <w:pStyle w:val="NormalWeb"/>
            </w:pPr>
            <w:r>
              <w:rPr>
                <w:rStyle w:val="Strong"/>
              </w:rPr>
              <w:t>M99, Grenade, Launcher: 66mm Non-lethal, Blunt Trauma</w:t>
            </w:r>
            <w:r>
              <w:br/>
              <w:t xml:space="preserve">An area target </w:t>
            </w:r>
            <w:proofErr w:type="spellStart"/>
            <w:r>
              <w:t>munition</w:t>
            </w:r>
            <w:proofErr w:type="spellEnd"/>
            <w:r>
              <w:t xml:space="preserve"> that can be fired 80 to 100 meters from any standard LVOSS launcher on selected Armament Carrier HMMWVs as well as from any 66mm smoke launching system found on most armored vehicles. Once fired, its burst delivers a payload of rubber, non-penetrating projectiles. It is best used to provide supporting non-lethal fires to crowd control formations.</w:t>
            </w:r>
          </w:p>
        </w:tc>
      </w:tr>
      <w:tr w:rsidR="00155A64" w:rsidTr="00155A64">
        <w:trPr>
          <w:tblCellSpacing w:w="15" w:type="dxa"/>
        </w:trPr>
        <w:tc>
          <w:tcPr>
            <w:tcW w:w="1250" w:type="pct"/>
            <w:vAlign w:val="center"/>
            <w:hideMark/>
          </w:tcPr>
          <w:p w:rsidR="00155A64" w:rsidRDefault="00155A64">
            <w:pPr>
              <w:jc w:val="center"/>
              <w:rPr>
                <w:sz w:val="24"/>
                <w:szCs w:val="24"/>
              </w:rPr>
            </w:pPr>
            <w:r>
              <w:rPr>
                <w:noProof/>
                <w:color w:val="0000FF"/>
              </w:rPr>
              <w:drawing>
                <wp:inline distT="0" distB="0" distL="0" distR="0">
                  <wp:extent cx="621665" cy="621665"/>
                  <wp:effectExtent l="19050" t="0" r="6985" b="0"/>
                  <wp:docPr id="21" name="Picture 21" descr="Mobility Denial System (MDS) (man-portab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bility Denial System (MDS) (man-portable)">
                            <a:hlinkClick r:id="rId17"/>
                          </pic:cNvPr>
                          <pic:cNvPicPr>
                            <a:picLocks noChangeAspect="1" noChangeArrowheads="1"/>
                          </pic:cNvPicPr>
                        </pic:nvPicPr>
                        <pic:blipFill>
                          <a:blip r:embed="rId20" cstate="print"/>
                          <a:srcRect/>
                          <a:stretch>
                            <a:fillRect/>
                          </a:stretch>
                        </pic:blipFill>
                        <pic:spPr bwMode="auto">
                          <a:xfrm>
                            <a:off x="0" y="0"/>
                            <a:ext cx="621665" cy="621665"/>
                          </a:xfrm>
                          <a:prstGeom prst="rect">
                            <a:avLst/>
                          </a:prstGeom>
                          <a:noFill/>
                          <a:ln w="9525">
                            <a:noFill/>
                            <a:miter lim="800000"/>
                            <a:headEnd/>
                            <a:tailEnd/>
                          </a:ln>
                        </pic:spPr>
                      </pic:pic>
                    </a:graphicData>
                  </a:graphic>
                </wp:inline>
              </w:drawing>
            </w:r>
            <w:r>
              <w:br/>
            </w:r>
            <w:r>
              <w:rPr>
                <w:rStyle w:val="sml"/>
              </w:rPr>
              <w:t>Click image to see larger view</w:t>
            </w:r>
          </w:p>
        </w:tc>
        <w:tc>
          <w:tcPr>
            <w:tcW w:w="3750" w:type="pct"/>
            <w:vAlign w:val="center"/>
            <w:hideMark/>
          </w:tcPr>
          <w:p w:rsidR="00155A64" w:rsidRDefault="00155A64">
            <w:pPr>
              <w:pStyle w:val="NormalWeb"/>
            </w:pPr>
            <w:r>
              <w:rPr>
                <w:rStyle w:val="Strong"/>
              </w:rPr>
              <w:t>Mobility Denial System (MDS) (man-portable)</w:t>
            </w:r>
            <w:r>
              <w:br/>
              <w:t>A non-hazardous chemical spray system that spreads a slippery gel onto its intended surface in order to inhibit the movement of individuals or vehicles so military personnel can control crowds and isolate facilities located in restricted areas. The man-portable MDS weighs about 55 lbs when loaded and covers up to 2,000 square feet, enabling targeted applications both in and around buildings.</w:t>
            </w:r>
          </w:p>
        </w:tc>
      </w:tr>
      <w:tr w:rsidR="00155A64" w:rsidTr="00155A64">
        <w:trPr>
          <w:tblCellSpacing w:w="15" w:type="dxa"/>
        </w:trPr>
        <w:tc>
          <w:tcPr>
            <w:tcW w:w="1250" w:type="pct"/>
            <w:vAlign w:val="center"/>
            <w:hideMark/>
          </w:tcPr>
          <w:p w:rsidR="00155A64" w:rsidRDefault="00155A64">
            <w:pPr>
              <w:jc w:val="center"/>
              <w:rPr>
                <w:sz w:val="24"/>
                <w:szCs w:val="24"/>
              </w:rPr>
            </w:pPr>
          </w:p>
        </w:tc>
        <w:tc>
          <w:tcPr>
            <w:tcW w:w="3750" w:type="pct"/>
            <w:vAlign w:val="center"/>
            <w:hideMark/>
          </w:tcPr>
          <w:p w:rsidR="00155A64" w:rsidRDefault="00155A64">
            <w:pPr>
              <w:pStyle w:val="NormalWeb"/>
            </w:pPr>
            <w:r>
              <w:rPr>
                <w:rStyle w:val="Strong"/>
              </w:rPr>
              <w:t xml:space="preserve">Additional items include: </w:t>
            </w:r>
          </w:p>
          <w:p w:rsidR="00155A64" w:rsidRDefault="00720B38" w:rsidP="00155A64">
            <w:pPr>
              <w:numPr>
                <w:ilvl w:val="0"/>
                <w:numId w:val="1"/>
              </w:numPr>
              <w:spacing w:before="100" w:beforeAutospacing="1" w:after="100" w:afterAutospacing="1" w:line="240" w:lineRule="auto"/>
            </w:pPr>
            <w:hyperlink r:id="rId21" w:history="1">
              <w:r w:rsidR="00155A64">
                <w:rPr>
                  <w:rStyle w:val="Hyperlink"/>
                </w:rPr>
                <w:t>M104 Non-Lethal Bursting Hand Grenade (NLBHG)</w:t>
              </w:r>
            </w:hyperlink>
          </w:p>
          <w:p w:rsidR="00155A64" w:rsidRDefault="00155A64" w:rsidP="00155A64">
            <w:pPr>
              <w:numPr>
                <w:ilvl w:val="0"/>
                <w:numId w:val="1"/>
              </w:numPr>
              <w:spacing w:before="100" w:beforeAutospacing="1" w:after="100" w:afterAutospacing="1" w:line="240" w:lineRule="auto"/>
              <w:rPr>
                <w:sz w:val="24"/>
                <w:szCs w:val="24"/>
              </w:rPr>
            </w:pPr>
            <w:r>
              <w:t>12 Gauge Enhanced Round</w:t>
            </w:r>
          </w:p>
        </w:tc>
      </w:tr>
    </w:tbl>
    <w:p w:rsidR="00B17FB5" w:rsidRPr="00155A64" w:rsidRDefault="00B17FB5" w:rsidP="00155A64"/>
    <w:sectPr w:rsidR="00B17FB5" w:rsidRPr="00155A64" w:rsidSect="00B17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F6CA7"/>
    <w:multiLevelType w:val="multilevel"/>
    <w:tmpl w:val="396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155A64"/>
    <w:rsid w:val="00066792"/>
    <w:rsid w:val="000772D4"/>
    <w:rsid w:val="00081EAC"/>
    <w:rsid w:val="00083BC7"/>
    <w:rsid w:val="0010293F"/>
    <w:rsid w:val="001475EB"/>
    <w:rsid w:val="00155A64"/>
    <w:rsid w:val="001565B0"/>
    <w:rsid w:val="001B31A8"/>
    <w:rsid w:val="002177AC"/>
    <w:rsid w:val="00227916"/>
    <w:rsid w:val="0024623A"/>
    <w:rsid w:val="0026255D"/>
    <w:rsid w:val="0027696D"/>
    <w:rsid w:val="00291DC2"/>
    <w:rsid w:val="002F0546"/>
    <w:rsid w:val="003446F9"/>
    <w:rsid w:val="003758EA"/>
    <w:rsid w:val="00377397"/>
    <w:rsid w:val="00396133"/>
    <w:rsid w:val="004252F0"/>
    <w:rsid w:val="00457DDD"/>
    <w:rsid w:val="004A774B"/>
    <w:rsid w:val="004B2F66"/>
    <w:rsid w:val="00524E48"/>
    <w:rsid w:val="00570F97"/>
    <w:rsid w:val="005A5E56"/>
    <w:rsid w:val="005C3749"/>
    <w:rsid w:val="00720B38"/>
    <w:rsid w:val="00754B16"/>
    <w:rsid w:val="00782CF3"/>
    <w:rsid w:val="00817093"/>
    <w:rsid w:val="00895184"/>
    <w:rsid w:val="00967C61"/>
    <w:rsid w:val="009B3945"/>
    <w:rsid w:val="009B7480"/>
    <w:rsid w:val="009C3B72"/>
    <w:rsid w:val="00A1547B"/>
    <w:rsid w:val="00A21713"/>
    <w:rsid w:val="00AA1C9B"/>
    <w:rsid w:val="00B04E0B"/>
    <w:rsid w:val="00B17FB5"/>
    <w:rsid w:val="00BE151B"/>
    <w:rsid w:val="00C71FBD"/>
    <w:rsid w:val="00CA2C1B"/>
    <w:rsid w:val="00CC3989"/>
    <w:rsid w:val="00CD2FB8"/>
    <w:rsid w:val="00D05330"/>
    <w:rsid w:val="00DA3A46"/>
    <w:rsid w:val="00DC0DD4"/>
    <w:rsid w:val="00E04374"/>
    <w:rsid w:val="00E27FAB"/>
    <w:rsid w:val="00E8599C"/>
    <w:rsid w:val="00F77B96"/>
    <w:rsid w:val="00FC3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B5"/>
  </w:style>
  <w:style w:type="paragraph" w:styleId="Heading1">
    <w:name w:val="heading 1"/>
    <w:basedOn w:val="Normal"/>
    <w:next w:val="Normal"/>
    <w:link w:val="Heading1Char"/>
    <w:uiPriority w:val="9"/>
    <w:qFormat/>
    <w:rsid w:val="00155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55A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A6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55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64"/>
    <w:rPr>
      <w:rFonts w:ascii="Tahoma" w:hAnsi="Tahoma" w:cs="Tahoma"/>
      <w:sz w:val="16"/>
      <w:szCs w:val="16"/>
    </w:rPr>
  </w:style>
  <w:style w:type="character" w:customStyle="1" w:styleId="Heading1Char">
    <w:name w:val="Heading 1 Char"/>
    <w:basedOn w:val="DefaultParagraphFont"/>
    <w:link w:val="Heading1"/>
    <w:uiPriority w:val="9"/>
    <w:rsid w:val="00155A6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55A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A64"/>
    <w:rPr>
      <w:i/>
      <w:iCs/>
    </w:rPr>
  </w:style>
  <w:style w:type="character" w:customStyle="1" w:styleId="sml">
    <w:name w:val="sml"/>
    <w:basedOn w:val="DefaultParagraphFont"/>
    <w:rsid w:val="00155A64"/>
  </w:style>
  <w:style w:type="character" w:styleId="Hyperlink">
    <w:name w:val="Hyperlink"/>
    <w:basedOn w:val="DefaultParagraphFont"/>
    <w:uiPriority w:val="99"/>
    <w:unhideWhenUsed/>
    <w:rsid w:val="00155A64"/>
    <w:rPr>
      <w:color w:val="0000FF"/>
      <w:u w:val="single"/>
    </w:rPr>
  </w:style>
  <w:style w:type="character" w:styleId="Strong">
    <w:name w:val="Strong"/>
    <w:basedOn w:val="DefaultParagraphFont"/>
    <w:uiPriority w:val="22"/>
    <w:qFormat/>
    <w:rsid w:val="00155A64"/>
    <w:rPr>
      <w:b/>
      <w:bCs/>
    </w:rPr>
  </w:style>
  <w:style w:type="character" w:styleId="FollowedHyperlink">
    <w:name w:val="FollowedHyperlink"/>
    <w:basedOn w:val="DefaultParagraphFont"/>
    <w:uiPriority w:val="99"/>
    <w:semiHidden/>
    <w:unhideWhenUsed/>
    <w:rsid w:val="00967C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941623">
      <w:bodyDiv w:val="1"/>
      <w:marLeft w:val="0"/>
      <w:marRight w:val="0"/>
      <w:marTop w:val="0"/>
      <w:marBottom w:val="0"/>
      <w:divBdr>
        <w:top w:val="none" w:sz="0" w:space="0" w:color="auto"/>
        <w:left w:val="none" w:sz="0" w:space="0" w:color="auto"/>
        <w:bottom w:val="none" w:sz="0" w:space="0" w:color="auto"/>
        <w:right w:val="none" w:sz="0" w:space="0" w:color="auto"/>
      </w:divBdr>
      <w:divsChild>
        <w:div w:id="372852621">
          <w:marLeft w:val="0"/>
          <w:marRight w:val="0"/>
          <w:marTop w:val="0"/>
          <w:marBottom w:val="0"/>
          <w:divBdr>
            <w:top w:val="none" w:sz="0" w:space="0" w:color="auto"/>
            <w:left w:val="none" w:sz="0" w:space="0" w:color="auto"/>
            <w:bottom w:val="none" w:sz="0" w:space="0" w:color="auto"/>
            <w:right w:val="none" w:sz="0" w:space="0" w:color="auto"/>
          </w:divBdr>
        </w:div>
      </w:divsChild>
    </w:div>
    <w:div w:id="185337851">
      <w:bodyDiv w:val="1"/>
      <w:marLeft w:val="0"/>
      <w:marRight w:val="0"/>
      <w:marTop w:val="0"/>
      <w:marBottom w:val="0"/>
      <w:divBdr>
        <w:top w:val="none" w:sz="0" w:space="0" w:color="auto"/>
        <w:left w:val="none" w:sz="0" w:space="0" w:color="auto"/>
        <w:bottom w:val="none" w:sz="0" w:space="0" w:color="auto"/>
        <w:right w:val="none" w:sz="0" w:space="0" w:color="auto"/>
      </w:divBdr>
    </w:div>
    <w:div w:id="321395332">
      <w:bodyDiv w:val="1"/>
      <w:marLeft w:val="0"/>
      <w:marRight w:val="0"/>
      <w:marTop w:val="0"/>
      <w:marBottom w:val="0"/>
      <w:divBdr>
        <w:top w:val="none" w:sz="0" w:space="0" w:color="auto"/>
        <w:left w:val="none" w:sz="0" w:space="0" w:color="auto"/>
        <w:bottom w:val="none" w:sz="0" w:space="0" w:color="auto"/>
        <w:right w:val="none" w:sz="0" w:space="0" w:color="auto"/>
      </w:divBdr>
      <w:divsChild>
        <w:div w:id="808786913">
          <w:marLeft w:val="0"/>
          <w:marRight w:val="0"/>
          <w:marTop w:val="0"/>
          <w:marBottom w:val="0"/>
          <w:divBdr>
            <w:top w:val="none" w:sz="0" w:space="0" w:color="auto"/>
            <w:left w:val="none" w:sz="0" w:space="0" w:color="auto"/>
            <w:bottom w:val="none" w:sz="0" w:space="0" w:color="auto"/>
            <w:right w:val="none" w:sz="0" w:space="0" w:color="auto"/>
          </w:divBdr>
        </w:div>
      </w:divsChild>
    </w:div>
    <w:div w:id="578639365">
      <w:bodyDiv w:val="1"/>
      <w:marLeft w:val="0"/>
      <w:marRight w:val="0"/>
      <w:marTop w:val="0"/>
      <w:marBottom w:val="0"/>
      <w:divBdr>
        <w:top w:val="none" w:sz="0" w:space="0" w:color="auto"/>
        <w:left w:val="none" w:sz="0" w:space="0" w:color="auto"/>
        <w:bottom w:val="none" w:sz="0" w:space="0" w:color="auto"/>
        <w:right w:val="none" w:sz="0" w:space="0" w:color="auto"/>
      </w:divBdr>
      <w:divsChild>
        <w:div w:id="602032844">
          <w:marLeft w:val="0"/>
          <w:marRight w:val="0"/>
          <w:marTop w:val="0"/>
          <w:marBottom w:val="0"/>
          <w:divBdr>
            <w:top w:val="none" w:sz="0" w:space="0" w:color="auto"/>
            <w:left w:val="none" w:sz="0" w:space="0" w:color="auto"/>
            <w:bottom w:val="none" w:sz="0" w:space="0" w:color="auto"/>
            <w:right w:val="none" w:sz="0" w:space="0" w:color="auto"/>
          </w:divBdr>
        </w:div>
      </w:divsChild>
    </w:div>
    <w:div w:id="1069351335">
      <w:bodyDiv w:val="1"/>
      <w:marLeft w:val="0"/>
      <w:marRight w:val="0"/>
      <w:marTop w:val="0"/>
      <w:marBottom w:val="0"/>
      <w:divBdr>
        <w:top w:val="none" w:sz="0" w:space="0" w:color="auto"/>
        <w:left w:val="none" w:sz="0" w:space="0" w:color="auto"/>
        <w:bottom w:val="none" w:sz="0" w:space="0" w:color="auto"/>
        <w:right w:val="none" w:sz="0" w:space="0" w:color="auto"/>
      </w:divBdr>
      <w:divsChild>
        <w:div w:id="582960355">
          <w:marLeft w:val="0"/>
          <w:marRight w:val="0"/>
          <w:marTop w:val="0"/>
          <w:marBottom w:val="0"/>
          <w:divBdr>
            <w:top w:val="none" w:sz="0" w:space="0" w:color="auto"/>
            <w:left w:val="none" w:sz="0" w:space="0" w:color="auto"/>
            <w:bottom w:val="none" w:sz="0" w:space="0" w:color="auto"/>
            <w:right w:val="none" w:sz="0" w:space="0" w:color="auto"/>
          </w:divBdr>
        </w:div>
        <w:div w:id="1588491394">
          <w:marLeft w:val="0"/>
          <w:marRight w:val="0"/>
          <w:marTop w:val="0"/>
          <w:marBottom w:val="0"/>
          <w:divBdr>
            <w:top w:val="none" w:sz="0" w:space="0" w:color="auto"/>
            <w:left w:val="none" w:sz="0" w:space="0" w:color="auto"/>
            <w:bottom w:val="none" w:sz="0" w:space="0" w:color="auto"/>
            <w:right w:val="none" w:sz="0" w:space="0" w:color="auto"/>
          </w:divBdr>
        </w:div>
      </w:divsChild>
    </w:div>
    <w:div w:id="18043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pica.army.mil/pmccs/CombatMunitions/NonLethalSys/NonLethalCapSet/CounterPer/4nlc_41.htm" TargetMode="External"/><Relationship Id="rId7" Type="http://schemas.openxmlformats.org/officeDocument/2006/relationships/hyperlink" Target="http://www.pica.army.mil/pmccs/SLM_Safety_Videos.html" TargetMode="External"/><Relationship Id="rId12" Type="http://schemas.openxmlformats.org/officeDocument/2006/relationships/image" Target="media/image6.jpeg"/><Relationship Id="rId17" Type="http://schemas.openxmlformats.org/officeDocument/2006/relationships/hyperlink" Target="http://www.pica.army.mil/pmccs/CombatMunitions/NonLethalSys/NonLethalCapSet/CounterPer/counterPers_future.htm" TargetMode="External"/><Relationship Id="rId2" Type="http://schemas.openxmlformats.org/officeDocument/2006/relationships/styles" Target="styles.xml"/><Relationship Id="rId16" Type="http://schemas.openxmlformats.org/officeDocument/2006/relationships/hyperlink" Target="http://www.pica.army.mil/pmccs/CombatMunitions/NonLethalSys.html"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hyperlink" Target="http://www.pica.army.mil/pmccs/CombatMunitions/NonLethalAmmo.html"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louis.york1</dc:creator>
  <cp:lastModifiedBy>Curtis.McMahan</cp:lastModifiedBy>
  <cp:revision>2</cp:revision>
  <dcterms:created xsi:type="dcterms:W3CDTF">2013-08-19T16:07:00Z</dcterms:created>
  <dcterms:modified xsi:type="dcterms:W3CDTF">2013-08-19T16:07:00Z</dcterms:modified>
</cp:coreProperties>
</file>